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коротких видеороликов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«</w:t>
      </w:r>
      <w:r w:rsidDel="00000000" w:rsidR="00000000" w:rsidRPr="00000000">
        <w:rPr>
          <w:b w:val="1"/>
          <w:sz w:val="36"/>
          <w:szCs w:val="36"/>
          <w:rtl w:val="0"/>
        </w:rPr>
        <w:t xml:space="preserve">Вконтакте с финансами»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конкурса видеороликов </w:t>
      </w:r>
      <w:r w:rsidDel="00000000" w:rsidR="00000000" w:rsidRPr="00000000">
        <w:rPr>
          <w:sz w:val="28"/>
          <w:szCs w:val="28"/>
          <w:rtl w:val="0"/>
        </w:rPr>
        <w:t xml:space="preserve">«Вконтакте с финансами»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(далее – Конкурс).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</w:t>
      </w:r>
      <w:r w:rsidDel="00000000" w:rsidR="00000000" w:rsidRPr="00000000">
        <w:rPr>
          <w:sz w:val="28"/>
          <w:szCs w:val="28"/>
          <w:rtl w:val="0"/>
        </w:rPr>
        <w:t xml:space="preserve">в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2022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Регионального центра финансовой грамотности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, а также в группах РЦФГ в социальных сетях: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</w:t>
      </w: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keepLines w:val="0"/>
        <w:spacing w:after="0" w:before="0" w:line="276" w:lineRule="auto"/>
        <w:ind w:left="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</w:t>
      </w:r>
      <w:r w:rsidDel="00000000" w:rsidR="00000000" w:rsidRPr="00000000">
        <w:rPr>
          <w:sz w:val="28"/>
          <w:szCs w:val="28"/>
          <w:rtl w:val="0"/>
        </w:rPr>
        <w:t xml:space="preserve">финансовой грамотности детей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76" w:lineRule="auto"/>
        <w:ind w:left="851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76" w:lineRule="auto"/>
        <w:ind w:firstLine="284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ab/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стать школьники 5 – 11 классов, студенты СПО до 18 лет (включительно),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5-7 классов;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8-9 классов;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10-11 классов и студенты СПО (до 18 лет включительно).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3.4. Участник может предоставить на Конкурс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несколько работ.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В каждой возрастной категории определяются 3 победителя (1, 2 и 3 место).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3.7.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Конкурса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4.1. К участию в Конкурсе допускаются участники, имеющие открытые профили в социальной сети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Вконтакте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с опубликованными видео конкурсных работ. Количество видео от одного участника не ограничено. Размещая видеоролик в целях участия в Конкурсе, участник гарантирует, что является его автором и не нарушает права третьих лиц на авторство либо исключительные права третьих лиц.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4.3. Участнику необходимо опубликовать в социальной сети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Вконтакте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видеоролик продолжительностью 15-60 секунд на одну из следующих тем: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4.4. Участнику необходимо отметить официальный аккаунт РЦФГ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Вконтакте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rcfg24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указать хештег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#finfest24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4.5. Участник отправляет заполненную з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по ссылке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https://forms.gle/kZTW9Q1vGKArGZym9</w:t>
        </w:r>
      </w:hyperlink>
      <w:r w:rsidDel="00000000" w:rsidR="00000000" w:rsidRPr="00000000">
        <w:rPr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 заявке участник размещает ссылку на свою конкурсную работу.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134"/>
        </w:tabs>
        <w:spacing w:line="276" w:lineRule="auto"/>
        <w:ind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1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5 октября 2022 года. </w:t>
      </w:r>
    </w:p>
    <w:p w:rsidR="00000000" w:rsidDel="00000000" w:rsidP="00000000" w:rsidRDefault="00000000" w:rsidRPr="00000000" w14:paraId="0000004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6 по 13 октября 2022 года.</w:t>
      </w:r>
    </w:p>
    <w:p w:rsidR="00000000" w:rsidDel="00000000" w:rsidP="00000000" w:rsidRDefault="00000000" w:rsidRPr="00000000" w14:paraId="0000004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не позднее 16 октября 2022 года.</w:t>
      </w:r>
    </w:p>
    <w:p w:rsidR="00000000" w:rsidDel="00000000" w:rsidP="00000000" w:rsidRDefault="00000000" w:rsidRPr="00000000" w14:paraId="00000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Жюри осуществляет проверку конкурсных работ на наличие необходимых хештегов и упоминаний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 конкурса (см. п.4.4. Положения)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соотносит соответствие видеоролика списку тем и оценивает работы участников,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критериям, указанным в п.7 настоящего Положения.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7.1. Содержательная оценка видеороликов осуществляется по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трехбалльной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шкале по каждому из критериев: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одной или нескольким темам, указанным в п.4.3. настоящего Положения;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заявленному в п.4.3. настоящего Положения хронометражу;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глубина раскрытия темы и ясность представления;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 видеоролика (новизна идеи)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7.2. Техническая оценка видеороликов осуществляется по следующим критериям: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качество видеосъемки;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уровень владения специальными выразительными средствами;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эстетичность работы (общее эмоциональное восприятие, позитивный посыл).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Один из победителей выбирается вне общей конкурсной программы в номинации «Приз зрительских симпатий». В указанной номинации для победы участнику необходимо набрать наибольшее количество лайков на видеоролике. При этом победитель указанной номинации не может совпадать с победителем, выбранным в рамках общей конкурсной программы. В случае такого совпадения, жюри определяет другого победителя Конкурса.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Победители Конкурса и победитель в номинации «Приз зрительских симпатий» награждаются дипломами и ценными подарками.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 Авторские права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8.1. Ответственность за соблюдение авторских прав при создании видеороликов, участвующих в Конкурсе, несет участник Конкурса.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8.2. Размещая свою работу в целях участия в Конкурсе, автор видеоролика автоматически дает право РЦФГ на использование размещенного материала.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8.3. В случае необходимости, организатор Конкурса может запросить у автора оригинал видеоролика.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Победители Конкурса награждаются дипломами и призами: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1-е место – сертификат в магазин электроники на 15 000 рублей.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2-е место – сертификат в магазин электроники на 7 000 рублей.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3-е место – сертификат в магазин электроники на 3 000 рублей.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«Приз зрительских симпатий» – сертификат в магазин электроники на 2 000 рублей.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9.3. 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9.4.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9.5.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</w:rPr>
      </w:pPr>
      <w:bookmarkStart w:colFirst="0" w:colLast="0" w:name="_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</w:p>
    <w:p w:rsidR="00000000" w:rsidDel="00000000" w:rsidP="00000000" w:rsidRDefault="00000000" w:rsidRPr="00000000" w14:paraId="0000006B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sz w:val="28"/>
          <w:szCs w:val="28"/>
        </w:rPr>
      </w:pPr>
      <w:bookmarkStart w:colFirst="0" w:colLast="0" w:name="_7s2c4n20anj5" w:id="1"/>
      <w:bookmarkEnd w:id="1"/>
      <w:r w:rsidDel="00000000" w:rsidR="00000000" w:rsidRPr="00000000">
        <w:rPr>
          <w:sz w:val="28"/>
          <w:szCs w:val="28"/>
          <w:rtl w:val="0"/>
        </w:rPr>
        <w:t xml:space="preserve">10.3. 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00000" w:rsidDel="00000000" w:rsidP="00000000" w:rsidRDefault="00000000" w:rsidRPr="00000000" w14:paraId="0000006C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colFirst="0" w:colLast="0" w:name="_7s2c4n20anj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colFirst="0" w:colLast="0" w:name="_tqbllrhhei8o" w:id="2"/>
      <w:bookmarkEnd w:id="2"/>
      <w:r w:rsidDel="00000000" w:rsidR="00000000" w:rsidRPr="00000000">
        <w:rPr>
          <w:rtl w:val="0"/>
        </w:rPr>
      </w:r>
    </w:p>
    <w:sectPr>
      <w:headerReference r:id="rId10" w:type="first"/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forms.gle/kZTW9Q1vGKArGZym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cfg24.ru" TargetMode="External"/><Relationship Id="rId8" Type="http://schemas.openxmlformats.org/officeDocument/2006/relationships/hyperlink" Target="https://finfest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